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neutralweiß weiß</w:t>
      </w:r>
    </w:p>
    <w:p/>
    <w:p>
      <w:pPr/>
      <w:r>
        <w:rPr/>
        <w:t xml:space="preserve">Sensor-LED-Innenleuchte mit Hochfrequenz-Sensor als Wand- und Deckenleuchte aus PC opal/Aluminium IP54, 4000 K, Sensor via App deaktivierbar,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331 x 69 mm; Versorgungsspannung: 220 – 240 V / 50 – 60 Hz; Leistung: 20,7 W; HF-Sensor: 5,8 GHz; Lichtstrom: 2745 lm; Farbtemperatur: 4000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Jahre; BEG-förderfähig: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088347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A30 SC neutralweiß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2026-07-15T01:05:39+02:00</dcterms:created>
  <dcterms:modified xsi:type="dcterms:W3CDTF">2026-07-15T01:05:39+02:00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